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4934" w14:textId="77777777" w:rsidR="009725AF" w:rsidRDefault="00832137">
      <w:pPr>
        <w:rPr>
          <w:rFonts w:ascii="Century Gothic" w:hAnsi="Century Gothic"/>
          <w:sz w:val="24"/>
          <w:szCs w:val="24"/>
          <w:lang w:val="en-US"/>
        </w:rPr>
      </w:pPr>
      <w:r w:rsidRPr="00004A5F">
        <w:rPr>
          <w:rFonts w:ascii="Century Gothic" w:hAnsi="Century Gothic"/>
          <w:sz w:val="24"/>
          <w:szCs w:val="24"/>
          <w:lang w:val="en-US"/>
        </w:rPr>
        <w:t>Covid has continued to challenge us</w:t>
      </w:r>
      <w:r w:rsidR="009725AF">
        <w:rPr>
          <w:rFonts w:ascii="Century Gothic" w:hAnsi="Century Gothic"/>
          <w:sz w:val="24"/>
          <w:szCs w:val="24"/>
          <w:lang w:val="en-US"/>
        </w:rPr>
        <w:t>.</w:t>
      </w:r>
    </w:p>
    <w:p w14:paraId="6BCD305F" w14:textId="028A15CE" w:rsidR="00FC7026" w:rsidRPr="00004A5F" w:rsidRDefault="007932EE" w:rsidP="00FC702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On the one hand</w:t>
      </w:r>
      <w:r w:rsidR="000820DB">
        <w:rPr>
          <w:rFonts w:ascii="Century Gothic" w:hAnsi="Century Gothic"/>
          <w:sz w:val="24"/>
          <w:szCs w:val="24"/>
          <w:lang w:val="en-US"/>
        </w:rPr>
        <w:t xml:space="preserve"> it has </w:t>
      </w:r>
      <w:r w:rsidR="00FC7026">
        <w:rPr>
          <w:rFonts w:ascii="Century Gothic" w:hAnsi="Century Gothic"/>
          <w:sz w:val="24"/>
          <w:szCs w:val="24"/>
          <w:lang w:val="en-US"/>
        </w:rPr>
        <w:t>increased the support we</w:t>
      </w:r>
      <w:r w:rsidR="000820DB">
        <w:rPr>
          <w:rFonts w:ascii="Century Gothic" w:hAnsi="Century Gothic"/>
          <w:sz w:val="24"/>
          <w:szCs w:val="24"/>
          <w:lang w:val="en-US"/>
        </w:rPr>
        <w:t xml:space="preserve"> have </w:t>
      </w:r>
      <w:r w:rsidR="00FC7026">
        <w:rPr>
          <w:rFonts w:ascii="Century Gothic" w:hAnsi="Century Gothic"/>
          <w:sz w:val="24"/>
          <w:szCs w:val="24"/>
          <w:lang w:val="en-US"/>
        </w:rPr>
        <w:t xml:space="preserve">wanted to provide to the children </w:t>
      </w:r>
      <w:r w:rsidR="000820DB">
        <w:rPr>
          <w:rFonts w:ascii="Century Gothic" w:hAnsi="Century Gothic"/>
          <w:sz w:val="24"/>
          <w:szCs w:val="24"/>
          <w:lang w:val="en-US"/>
        </w:rPr>
        <w:t xml:space="preserve">and the wider school community, </w:t>
      </w:r>
      <w:r w:rsidR="00FC7026">
        <w:rPr>
          <w:rFonts w:ascii="Century Gothic" w:hAnsi="Century Gothic"/>
          <w:sz w:val="24"/>
          <w:szCs w:val="24"/>
          <w:lang w:val="en-US"/>
        </w:rPr>
        <w:t xml:space="preserve">but </w:t>
      </w:r>
      <w:r>
        <w:rPr>
          <w:rFonts w:ascii="Century Gothic" w:hAnsi="Century Gothic"/>
          <w:sz w:val="24"/>
          <w:szCs w:val="24"/>
          <w:lang w:val="en-US"/>
        </w:rPr>
        <w:t>on the other hand i</w:t>
      </w:r>
      <w:r w:rsidR="00FC7026">
        <w:rPr>
          <w:rFonts w:ascii="Century Gothic" w:hAnsi="Century Gothic"/>
          <w:sz w:val="24"/>
          <w:szCs w:val="24"/>
          <w:lang w:val="en-US"/>
        </w:rPr>
        <w:t xml:space="preserve">t has reduced the opportunities for </w:t>
      </w:r>
      <w:r w:rsidR="00463D53">
        <w:rPr>
          <w:rFonts w:ascii="Century Gothic" w:hAnsi="Century Gothic"/>
          <w:sz w:val="24"/>
          <w:szCs w:val="24"/>
          <w:lang w:val="en-US"/>
        </w:rPr>
        <w:t xml:space="preserve">traditional </w:t>
      </w:r>
      <w:r w:rsidR="00FC7026">
        <w:rPr>
          <w:rFonts w:ascii="Century Gothic" w:hAnsi="Century Gothic"/>
          <w:sz w:val="24"/>
          <w:szCs w:val="24"/>
          <w:lang w:val="en-US"/>
        </w:rPr>
        <w:t xml:space="preserve">in-person </w:t>
      </w:r>
      <w:r w:rsidR="00463D53">
        <w:rPr>
          <w:rFonts w:ascii="Century Gothic" w:hAnsi="Century Gothic"/>
          <w:sz w:val="24"/>
          <w:szCs w:val="24"/>
          <w:lang w:val="en-US"/>
        </w:rPr>
        <w:t xml:space="preserve">fundraising </w:t>
      </w:r>
      <w:r w:rsidR="00FC7026">
        <w:rPr>
          <w:rFonts w:ascii="Century Gothic" w:hAnsi="Century Gothic"/>
          <w:sz w:val="24"/>
          <w:szCs w:val="24"/>
          <w:lang w:val="en-US"/>
        </w:rPr>
        <w:t>events.</w:t>
      </w:r>
      <w:r w:rsidR="000820DB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1985931B" w14:textId="7679F199" w:rsidR="00832137" w:rsidRPr="00004A5F" w:rsidRDefault="00463D5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As</w:t>
      </w:r>
      <w:r w:rsidR="00832137" w:rsidRPr="00004A5F">
        <w:rPr>
          <w:rFonts w:ascii="Century Gothic" w:hAnsi="Century Gothic"/>
          <w:sz w:val="24"/>
          <w:szCs w:val="24"/>
          <w:lang w:val="en-US"/>
        </w:rPr>
        <w:t xml:space="preserve"> you can see from the </w:t>
      </w:r>
      <w:r w:rsidR="007932EE">
        <w:rPr>
          <w:rFonts w:ascii="Century Gothic" w:hAnsi="Century Gothic"/>
          <w:sz w:val="24"/>
          <w:szCs w:val="24"/>
          <w:lang w:val="en-US"/>
        </w:rPr>
        <w:t>figures below</w:t>
      </w:r>
      <w:r w:rsidR="00832137" w:rsidRPr="00004A5F">
        <w:rPr>
          <w:rFonts w:ascii="Century Gothic" w:hAnsi="Century Gothic"/>
          <w:sz w:val="24"/>
          <w:szCs w:val="24"/>
          <w:lang w:val="en-US"/>
        </w:rPr>
        <w:t xml:space="preserve">, our income in the year was </w:t>
      </w:r>
      <w:r w:rsidR="009725AF">
        <w:rPr>
          <w:rFonts w:ascii="Century Gothic" w:hAnsi="Century Gothic"/>
          <w:sz w:val="24"/>
          <w:szCs w:val="24"/>
          <w:lang w:val="en-US"/>
        </w:rPr>
        <w:t>almost</w:t>
      </w:r>
      <w:r w:rsidR="001622B1" w:rsidRPr="00004A5F">
        <w:rPr>
          <w:rFonts w:ascii="Century Gothic" w:hAnsi="Century Gothic"/>
          <w:sz w:val="24"/>
          <w:szCs w:val="24"/>
          <w:lang w:val="en-US"/>
        </w:rPr>
        <w:t xml:space="preserve"> £4</w:t>
      </w:r>
      <w:r w:rsidR="00004A5F">
        <w:rPr>
          <w:rFonts w:ascii="Century Gothic" w:hAnsi="Century Gothic"/>
          <w:sz w:val="24"/>
          <w:szCs w:val="24"/>
          <w:lang w:val="en-US"/>
        </w:rPr>
        <w:t>,</w:t>
      </w:r>
      <w:r w:rsidR="001622B1" w:rsidRPr="00004A5F">
        <w:rPr>
          <w:rFonts w:ascii="Century Gothic" w:hAnsi="Century Gothic"/>
          <w:sz w:val="24"/>
          <w:szCs w:val="24"/>
          <w:lang w:val="en-US"/>
        </w:rPr>
        <w:t>400 and expenditure was nearly £4</w:t>
      </w:r>
      <w:r w:rsidR="00004A5F">
        <w:rPr>
          <w:rFonts w:ascii="Century Gothic" w:hAnsi="Century Gothic"/>
          <w:sz w:val="24"/>
          <w:szCs w:val="24"/>
          <w:lang w:val="en-US"/>
        </w:rPr>
        <w:t>,</w:t>
      </w:r>
      <w:r w:rsidR="001622B1" w:rsidRPr="00004A5F">
        <w:rPr>
          <w:rFonts w:ascii="Century Gothic" w:hAnsi="Century Gothic"/>
          <w:sz w:val="24"/>
          <w:szCs w:val="24"/>
          <w:lang w:val="en-US"/>
        </w:rPr>
        <w:t>000.</w:t>
      </w:r>
    </w:p>
    <w:p w14:paraId="6CC29D87" w14:textId="31F16016" w:rsidR="001622B1" w:rsidRPr="00004A5F" w:rsidRDefault="001622B1">
      <w:pPr>
        <w:rPr>
          <w:rFonts w:ascii="Century Gothic" w:hAnsi="Century Gothic"/>
          <w:sz w:val="24"/>
          <w:szCs w:val="24"/>
          <w:lang w:val="en-US"/>
        </w:rPr>
      </w:pPr>
      <w:r w:rsidRPr="00004A5F">
        <w:rPr>
          <w:rFonts w:ascii="Century Gothic" w:hAnsi="Century Gothic"/>
          <w:sz w:val="24"/>
          <w:szCs w:val="24"/>
          <w:lang w:val="en-US"/>
        </w:rPr>
        <w:t>Our three biggest earners were the calendars, the non-uniform days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 xml:space="preserve"> and the donatemyschool.com fundraiser for the summer fete. Thank you to all parents and carers for your generous support.</w:t>
      </w:r>
    </w:p>
    <w:p w14:paraId="0957B4C1" w14:textId="55291EA0" w:rsidR="00673D56" w:rsidRPr="00004A5F" w:rsidRDefault="00673D56">
      <w:pPr>
        <w:rPr>
          <w:rFonts w:ascii="Century Gothic" w:hAnsi="Century Gothic"/>
          <w:sz w:val="24"/>
          <w:szCs w:val="24"/>
          <w:lang w:val="en-US"/>
        </w:rPr>
      </w:pPr>
      <w:r w:rsidRPr="00004A5F">
        <w:rPr>
          <w:rFonts w:ascii="Century Gothic" w:hAnsi="Century Gothic"/>
          <w:sz w:val="24"/>
          <w:szCs w:val="24"/>
          <w:lang w:val="en-US"/>
        </w:rPr>
        <w:t>Our three biggest spends were Christmas presents</w:t>
      </w:r>
      <w:r w:rsidR="00662E8F">
        <w:rPr>
          <w:rFonts w:ascii="Century Gothic" w:hAnsi="Century Gothic"/>
          <w:sz w:val="24"/>
          <w:szCs w:val="24"/>
          <w:lang w:val="en-US"/>
        </w:rPr>
        <w:t xml:space="preserve"> for Santa’s Grotto</w:t>
      </w:r>
      <w:r w:rsidRPr="00004A5F">
        <w:rPr>
          <w:rFonts w:ascii="Century Gothic" w:hAnsi="Century Gothic"/>
          <w:sz w:val="24"/>
          <w:szCs w:val="24"/>
          <w:lang w:val="en-US"/>
        </w:rPr>
        <w:t xml:space="preserve">, the Year 6 leaving event and </w:t>
      </w:r>
      <w:r w:rsidR="007932EE">
        <w:rPr>
          <w:rFonts w:ascii="Century Gothic" w:hAnsi="Century Gothic"/>
          <w:sz w:val="24"/>
          <w:szCs w:val="24"/>
          <w:lang w:val="en-US"/>
        </w:rPr>
        <w:t>playground</w:t>
      </w:r>
      <w:r w:rsidRPr="00004A5F">
        <w:rPr>
          <w:rFonts w:ascii="Century Gothic" w:hAnsi="Century Gothic"/>
          <w:sz w:val="24"/>
          <w:szCs w:val="24"/>
          <w:lang w:val="en-US"/>
        </w:rPr>
        <w:t xml:space="preserve"> equipment. I hope all of you have been able to see your </w:t>
      </w:r>
      <w:r w:rsidR="00D1055B">
        <w:rPr>
          <w:rFonts w:ascii="Century Gothic" w:hAnsi="Century Gothic"/>
          <w:sz w:val="24"/>
          <w:szCs w:val="24"/>
          <w:lang w:val="en-US"/>
        </w:rPr>
        <w:t>children</w:t>
      </w:r>
      <w:r w:rsidRPr="00004A5F">
        <w:rPr>
          <w:rFonts w:ascii="Century Gothic" w:hAnsi="Century Gothic"/>
          <w:sz w:val="24"/>
          <w:szCs w:val="24"/>
          <w:lang w:val="en-US"/>
        </w:rPr>
        <w:t xml:space="preserve"> enjoy at least one of these!</w:t>
      </w:r>
    </w:p>
    <w:p w14:paraId="2D4C0849" w14:textId="36F5492B" w:rsidR="00C12100" w:rsidRDefault="00662E8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Given the lack of opportunity for in-person onsite events, the </w:t>
      </w:r>
      <w:r w:rsidR="00061163">
        <w:rPr>
          <w:rFonts w:ascii="Century Gothic" w:hAnsi="Century Gothic"/>
          <w:sz w:val="24"/>
          <w:szCs w:val="24"/>
          <w:lang w:val="en-US"/>
        </w:rPr>
        <w:t xml:space="preserve">requirement to raise money online has become more significant. Examples of this are 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>our affinity shopping schemes</w:t>
      </w:r>
      <w:r w:rsidR="00284B93">
        <w:rPr>
          <w:rFonts w:ascii="Century Gothic" w:hAnsi="Century Gothic"/>
          <w:sz w:val="24"/>
          <w:szCs w:val="24"/>
          <w:lang w:val="en-US"/>
        </w:rPr>
        <w:t>.</w:t>
      </w:r>
      <w:r w:rsidR="00915865">
        <w:rPr>
          <w:rFonts w:ascii="Century Gothic" w:hAnsi="Century Gothic"/>
          <w:sz w:val="24"/>
          <w:szCs w:val="24"/>
          <w:lang w:val="en-US"/>
        </w:rPr>
        <w:t xml:space="preserve"> When you shop online 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 xml:space="preserve">with amazon and </w:t>
      </w:r>
      <w:r w:rsidR="00284B93" w:rsidRPr="00004A5F">
        <w:rPr>
          <w:rFonts w:ascii="Century Gothic" w:hAnsi="Century Gothic"/>
          <w:sz w:val="24"/>
          <w:szCs w:val="24"/>
          <w:lang w:val="en-US"/>
        </w:rPr>
        <w:t xml:space="preserve">with </w:t>
      </w:r>
      <w:r w:rsidR="00D1055B">
        <w:rPr>
          <w:rFonts w:ascii="Century Gothic" w:hAnsi="Century Gothic"/>
          <w:sz w:val="24"/>
          <w:szCs w:val="24"/>
          <w:lang w:val="en-US"/>
        </w:rPr>
        <w:t>retailers</w:t>
      </w:r>
      <w:r w:rsidR="00284B93" w:rsidRPr="00004A5F">
        <w:rPr>
          <w:rFonts w:ascii="Century Gothic" w:hAnsi="Century Gothic"/>
          <w:sz w:val="24"/>
          <w:szCs w:val="24"/>
          <w:lang w:val="en-US"/>
        </w:rPr>
        <w:t xml:space="preserve"> signed up to easyfundraising</w:t>
      </w:r>
      <w:r w:rsidR="00D1055B">
        <w:rPr>
          <w:rFonts w:ascii="Century Gothic" w:hAnsi="Century Gothic"/>
          <w:sz w:val="24"/>
          <w:szCs w:val="24"/>
          <w:lang w:val="en-US"/>
        </w:rPr>
        <w:t>,</w:t>
      </w:r>
      <w:r w:rsidR="00915865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 xml:space="preserve">the Friends </w:t>
      </w:r>
      <w:r w:rsidR="00D1055B">
        <w:rPr>
          <w:rFonts w:ascii="Century Gothic" w:hAnsi="Century Gothic"/>
          <w:sz w:val="24"/>
          <w:szCs w:val="24"/>
          <w:lang w:val="en-US"/>
        </w:rPr>
        <w:t>of Highfield receive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 xml:space="preserve"> a small cut. This is essentially ‘free money’</w:t>
      </w:r>
      <w:r w:rsidR="00D1055B">
        <w:rPr>
          <w:rFonts w:ascii="Century Gothic" w:hAnsi="Century Gothic"/>
          <w:sz w:val="24"/>
          <w:szCs w:val="24"/>
          <w:lang w:val="en-US"/>
        </w:rPr>
        <w:t>!</w:t>
      </w:r>
      <w:r w:rsidR="006D72AC">
        <w:rPr>
          <w:rFonts w:ascii="Century Gothic" w:hAnsi="Century Gothic"/>
          <w:sz w:val="24"/>
          <w:szCs w:val="24"/>
          <w:lang w:val="en-US"/>
        </w:rPr>
        <w:t xml:space="preserve"> If 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>you’re not already</w:t>
      </w:r>
      <w:r w:rsidR="006D72AC">
        <w:rPr>
          <w:rFonts w:ascii="Century Gothic" w:hAnsi="Century Gothic"/>
          <w:sz w:val="24"/>
          <w:szCs w:val="24"/>
          <w:lang w:val="en-US"/>
        </w:rPr>
        <w:t>,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 xml:space="preserve"> please </w:t>
      </w:r>
      <w:r w:rsidR="006D72AC">
        <w:rPr>
          <w:rFonts w:ascii="Century Gothic" w:hAnsi="Century Gothic"/>
          <w:sz w:val="24"/>
          <w:szCs w:val="24"/>
          <w:lang w:val="en-US"/>
        </w:rPr>
        <w:t xml:space="preserve">sign up 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>an</w:t>
      </w:r>
      <w:r w:rsidR="006D72AC">
        <w:rPr>
          <w:rFonts w:ascii="Century Gothic" w:hAnsi="Century Gothic"/>
          <w:sz w:val="24"/>
          <w:szCs w:val="24"/>
          <w:lang w:val="en-US"/>
        </w:rPr>
        <w:t xml:space="preserve">d </w:t>
      </w:r>
      <w:r w:rsidR="00673D56" w:rsidRPr="00004A5F">
        <w:rPr>
          <w:rFonts w:ascii="Century Gothic" w:hAnsi="Century Gothic"/>
          <w:sz w:val="24"/>
          <w:szCs w:val="24"/>
          <w:lang w:val="en-US"/>
        </w:rPr>
        <w:t xml:space="preserve">encourage friends and family to </w:t>
      </w:r>
      <w:r w:rsidR="006D72AC">
        <w:rPr>
          <w:rFonts w:ascii="Century Gothic" w:hAnsi="Century Gothic"/>
          <w:sz w:val="24"/>
          <w:szCs w:val="24"/>
          <w:lang w:val="en-US"/>
        </w:rPr>
        <w:t xml:space="preserve">do so as well. </w:t>
      </w:r>
      <w:r w:rsidR="007F533E">
        <w:rPr>
          <w:rFonts w:ascii="Century Gothic" w:hAnsi="Century Gothic"/>
          <w:sz w:val="24"/>
          <w:szCs w:val="24"/>
          <w:lang w:val="en-US"/>
        </w:rPr>
        <w:t>The link</w:t>
      </w:r>
      <w:r w:rsidR="00D1055B">
        <w:rPr>
          <w:rFonts w:ascii="Century Gothic" w:hAnsi="Century Gothic"/>
          <w:sz w:val="24"/>
          <w:szCs w:val="24"/>
          <w:lang w:val="en-US"/>
        </w:rPr>
        <w:t>s</w:t>
      </w:r>
      <w:r w:rsidR="007F533E">
        <w:rPr>
          <w:rFonts w:ascii="Century Gothic" w:hAnsi="Century Gothic"/>
          <w:sz w:val="24"/>
          <w:szCs w:val="24"/>
          <w:lang w:val="en-US"/>
        </w:rPr>
        <w:t xml:space="preserve"> and QR code</w:t>
      </w:r>
      <w:r w:rsidR="00D1055B">
        <w:rPr>
          <w:rFonts w:ascii="Century Gothic" w:hAnsi="Century Gothic"/>
          <w:sz w:val="24"/>
          <w:szCs w:val="24"/>
          <w:lang w:val="en-US"/>
        </w:rPr>
        <w:t>s</w:t>
      </w:r>
      <w:r w:rsidR="007F533E">
        <w:rPr>
          <w:rFonts w:ascii="Century Gothic" w:hAnsi="Century Gothic"/>
          <w:sz w:val="24"/>
          <w:szCs w:val="24"/>
          <w:lang w:val="en-US"/>
        </w:rPr>
        <w:t xml:space="preserve"> are below:-</w:t>
      </w:r>
    </w:p>
    <w:p w14:paraId="7B04BC14" w14:textId="77777777" w:rsidR="00907ED7" w:rsidRDefault="00907ED7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8C70B4" w14:paraId="40F7EE50" w14:textId="77777777" w:rsidTr="008C70B4">
        <w:tc>
          <w:tcPr>
            <w:tcW w:w="4253" w:type="dxa"/>
          </w:tcPr>
          <w:p w14:paraId="41A253F7" w14:textId="082907ED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Easyfundraising</w:t>
            </w:r>
          </w:p>
          <w:p w14:paraId="2921B9F5" w14:textId="77777777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FC1B3FC" w14:textId="0DE7C1F3" w:rsidR="008C70B4" w:rsidRDefault="00C30BF5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6" w:history="1">
              <w:r w:rsidR="008C70B4" w:rsidRPr="00E32DA6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https://tinyurl.com/3767ufpc</w:t>
              </w:r>
            </w:hyperlink>
          </w:p>
          <w:p w14:paraId="0F0847DE" w14:textId="77777777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4BC73112" w14:textId="7E52648D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E882EA" wp14:editId="27F31111">
                  <wp:extent cx="1800225" cy="1800225"/>
                  <wp:effectExtent l="0" t="0" r="9525" b="9525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0FC3519" w14:textId="4BB9D927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Playground fundraiser</w:t>
            </w:r>
          </w:p>
          <w:p w14:paraId="33CC8E47" w14:textId="77777777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E4326D8" w14:textId="19C7B477" w:rsidR="008C70B4" w:rsidRDefault="00C30BF5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8" w:history="1">
              <w:r w:rsidR="008C70B4" w:rsidRPr="00E32DA6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https://tinyurl.com/5hfdjt99</w:t>
              </w:r>
            </w:hyperlink>
          </w:p>
          <w:p w14:paraId="2B016FD9" w14:textId="77777777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BC573CA" w14:textId="10CAC63A" w:rsidR="008C70B4" w:rsidRDefault="008C70B4" w:rsidP="008C70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235325" wp14:editId="64F9A359">
                  <wp:extent cx="1820866" cy="1771650"/>
                  <wp:effectExtent l="0" t="0" r="8255" b="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394" cy="179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9FADF0" w14:textId="77777777" w:rsidR="008C70B4" w:rsidRDefault="008C70B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993"/>
      </w:tblGrid>
      <w:tr w:rsidR="004F06EF" w14:paraId="09772717" w14:textId="77777777" w:rsidTr="008C70B4">
        <w:tc>
          <w:tcPr>
            <w:tcW w:w="4536" w:type="dxa"/>
          </w:tcPr>
          <w:p w14:paraId="0AFDA01D" w14:textId="510C9AE9" w:rsidR="00A55A60" w:rsidRPr="00A55A60" w:rsidRDefault="00A55A60" w:rsidP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A55A6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lastRenderedPageBreak/>
              <w:t>Income and expenditure</w:t>
            </w:r>
          </w:p>
          <w:p w14:paraId="0962AE17" w14:textId="77777777" w:rsidR="00A55A60" w:rsidRDefault="00A55A60" w:rsidP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Year to 30 September 2021</w:t>
            </w:r>
          </w:p>
          <w:p w14:paraId="2E8D05F8" w14:textId="3DD969EA" w:rsidR="004F06EF" w:rsidRPr="004F06EF" w:rsidRDefault="004F06EF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32AB683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8A8A963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F06EF" w:rsidRPr="008C70B4" w14:paraId="65F872E9" w14:textId="77777777" w:rsidTr="008C70B4">
        <w:tc>
          <w:tcPr>
            <w:tcW w:w="4536" w:type="dxa"/>
          </w:tcPr>
          <w:p w14:paraId="644F3F68" w14:textId="77777777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06E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Income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5D9B505E" w14:textId="43E36830" w:rsidR="004F06EF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Sale </w:t>
            </w:r>
            <w:r w:rsidR="004F06EF">
              <w:rPr>
                <w:rFonts w:ascii="Century Gothic" w:hAnsi="Century Gothic"/>
                <w:sz w:val="24"/>
                <w:szCs w:val="24"/>
                <w:lang w:val="en-US"/>
              </w:rPr>
              <w:t>of calendars</w:t>
            </w:r>
          </w:p>
          <w:p w14:paraId="536BBCCD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Non-uniform days</w:t>
            </w:r>
          </w:p>
          <w:p w14:paraId="156FC50B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Online fundraiser</w:t>
            </w:r>
          </w:p>
          <w:p w14:paraId="380C8E53" w14:textId="146AA486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HMRC Gift Aid</w:t>
            </w:r>
          </w:p>
          <w:p w14:paraId="5A366A2A" w14:textId="7734B6CC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Affinity income</w:t>
            </w:r>
          </w:p>
          <w:p w14:paraId="2A15CC8F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Recycling</w:t>
            </w:r>
          </w:p>
          <w:p w14:paraId="58C7B428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Advertising income</w:t>
            </w:r>
          </w:p>
          <w:p w14:paraId="3B2354F4" w14:textId="7E4CD5E7" w:rsidR="00907ED7" w:rsidRPr="00907ED7" w:rsidRDefault="00907ED7" w:rsidP="00907ED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07ED7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</w:tcPr>
          <w:p w14:paraId="727D661F" w14:textId="77777777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7020F9F" w14:textId="4F405804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£1,455</w:t>
            </w:r>
          </w:p>
          <w:p w14:paraId="2734726C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£1,140</w:t>
            </w:r>
          </w:p>
          <w:p w14:paraId="1DC25C1C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£1,038</w:t>
            </w:r>
          </w:p>
          <w:p w14:paraId="3B997E92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£412</w:t>
            </w:r>
          </w:p>
          <w:p w14:paraId="170CC21E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£220</w:t>
            </w:r>
          </w:p>
          <w:p w14:paraId="124AEEC6" w14:textId="0DEAD1BB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£79</w:t>
            </w:r>
          </w:p>
          <w:p w14:paraId="73DAAB1D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£50</w:t>
            </w:r>
          </w:p>
          <w:p w14:paraId="557EE5F0" w14:textId="02EDB237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E0586E3" w14:textId="77777777" w:rsidR="004F06EF" w:rsidRPr="008C70B4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3A1CC5" w14:textId="77777777" w:rsidR="00A55A60" w:rsidRPr="008C70B4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9176D63" w14:textId="77777777" w:rsidR="00A55A60" w:rsidRPr="008C70B4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4EA51FF4" w14:textId="77777777" w:rsidR="00A55A60" w:rsidRPr="008C70B4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8EA09C8" w14:textId="77777777" w:rsidR="00A55A60" w:rsidRPr="008C70B4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220ED40" w14:textId="77777777" w:rsidR="00A55A60" w:rsidRPr="008C70B4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67CB2C1" w14:textId="77777777" w:rsidR="00A55A60" w:rsidRPr="008C70B4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D610FEA" w14:textId="77777777" w:rsidR="00A55A60" w:rsidRPr="008C70B4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048051A" w14:textId="127E2BC0" w:rsidR="00A55A60" w:rsidRPr="008C70B4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8C70B4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£4,394</w:t>
            </w:r>
          </w:p>
        </w:tc>
      </w:tr>
      <w:tr w:rsidR="004F06EF" w14:paraId="76751BA7" w14:textId="77777777" w:rsidTr="008C70B4">
        <w:tc>
          <w:tcPr>
            <w:tcW w:w="4536" w:type="dxa"/>
          </w:tcPr>
          <w:p w14:paraId="075D44E4" w14:textId="05818E1D" w:rsidR="004F06EF" w:rsidRPr="00A55A60" w:rsidRDefault="004F06EF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028A470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2392CB6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F06EF" w14:paraId="27592B06" w14:textId="77777777" w:rsidTr="008C70B4">
        <w:tc>
          <w:tcPr>
            <w:tcW w:w="4536" w:type="dxa"/>
          </w:tcPr>
          <w:p w14:paraId="09A7D45F" w14:textId="77777777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55A6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Expenditure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6A3EEEBF" w14:textId="4C984BFC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Christmas event</w:t>
            </w:r>
          </w:p>
          <w:p w14:paraId="2ECAA767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Y6 leaving</w:t>
            </w:r>
          </w:p>
          <w:p w14:paraId="3E76020D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Playground equipment</w:t>
            </w:r>
          </w:p>
          <w:p w14:paraId="591E942F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Admin</w:t>
            </w:r>
          </w:p>
          <w:p w14:paraId="05B2D832" w14:textId="56A1C2EB" w:rsidR="00907ED7" w:rsidRPr="00907ED7" w:rsidRDefault="00907ED7" w:rsidP="00907ED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07ED7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</w:tcPr>
          <w:p w14:paraId="1D7E9F62" w14:textId="77777777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9E9CACB" w14:textId="4FC396D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£</w:t>
            </w:r>
            <w:r w:rsidR="00A55A60">
              <w:rPr>
                <w:rFonts w:ascii="Century Gothic" w:hAnsi="Century Gothic"/>
                <w:sz w:val="24"/>
                <w:szCs w:val="24"/>
                <w:lang w:val="en-US"/>
              </w:rPr>
              <w:t>1,883</w:t>
            </w:r>
          </w:p>
          <w:p w14:paraId="2239808D" w14:textId="77777777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£1,067</w:t>
            </w:r>
          </w:p>
          <w:p w14:paraId="0DD2C3BE" w14:textId="77777777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£880</w:t>
            </w:r>
          </w:p>
          <w:p w14:paraId="391CB9D3" w14:textId="519711C4" w:rsidR="00A55A60" w:rsidRDefault="00A55A6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£139</w:t>
            </w:r>
          </w:p>
        </w:tc>
        <w:tc>
          <w:tcPr>
            <w:tcW w:w="993" w:type="dxa"/>
          </w:tcPr>
          <w:p w14:paraId="603297D1" w14:textId="77777777" w:rsidR="004F06EF" w:rsidRPr="00907ED7" w:rsidRDefault="004F06EF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57A5FF8" w14:textId="77777777" w:rsidR="00A55A60" w:rsidRPr="00907ED7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7B145DE3" w14:textId="77777777" w:rsidR="00A55A60" w:rsidRPr="00907ED7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02B59F40" w14:textId="77777777" w:rsidR="00A55A60" w:rsidRPr="00907ED7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AB17A8C" w14:textId="77777777" w:rsidR="00A55A60" w:rsidRPr="00907ED7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E11AE51" w14:textId="5FAC2919" w:rsidR="00A55A60" w:rsidRPr="00907ED7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07ED7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£3,968</w:t>
            </w:r>
          </w:p>
        </w:tc>
      </w:tr>
      <w:tr w:rsidR="004F06EF" w:rsidRPr="008C70B4" w14:paraId="352AFAA0" w14:textId="77777777" w:rsidTr="008C70B4">
        <w:tc>
          <w:tcPr>
            <w:tcW w:w="4536" w:type="dxa"/>
          </w:tcPr>
          <w:p w14:paraId="6DEEB888" w14:textId="77777777" w:rsidR="00A55A60" w:rsidRPr="00640654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51DB0A17" w14:textId="755F8E9B" w:rsidR="004F06EF" w:rsidRPr="00640654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640654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Surplus for the year</w:t>
            </w:r>
          </w:p>
          <w:p w14:paraId="7D43D148" w14:textId="77777777" w:rsidR="00A55A60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22D4579A" w14:textId="67C14A14" w:rsidR="008C70B4" w:rsidRPr="00640654" w:rsidRDefault="008C70B4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731814B" w14:textId="77777777" w:rsidR="004F06EF" w:rsidRPr="00640654" w:rsidRDefault="004F06EF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F027DAA" w14:textId="77777777" w:rsidR="00A55A60" w:rsidRPr="008C70B4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139E5A0" w14:textId="7A2A2CB8" w:rsidR="004F06EF" w:rsidRPr="008C70B4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US"/>
              </w:rPr>
            </w:pPr>
            <w:r w:rsidRPr="008C70B4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US"/>
              </w:rPr>
              <w:t>£426</w:t>
            </w:r>
          </w:p>
        </w:tc>
      </w:tr>
      <w:tr w:rsidR="004F06EF" w:rsidRPr="00640654" w14:paraId="071EA495" w14:textId="77777777" w:rsidTr="008C70B4">
        <w:tc>
          <w:tcPr>
            <w:tcW w:w="4536" w:type="dxa"/>
          </w:tcPr>
          <w:p w14:paraId="4CDD9B40" w14:textId="764DEFC9" w:rsidR="004F06EF" w:rsidRPr="00640654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640654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Bank balance </w:t>
            </w:r>
            <w:proofErr w:type="gramStart"/>
            <w:r w:rsidRPr="00640654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at</w:t>
            </w:r>
            <w:proofErr w:type="gramEnd"/>
            <w:r w:rsidRPr="00640654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30 September 2021</w:t>
            </w:r>
          </w:p>
        </w:tc>
        <w:tc>
          <w:tcPr>
            <w:tcW w:w="1134" w:type="dxa"/>
          </w:tcPr>
          <w:p w14:paraId="6C99B8E5" w14:textId="77777777" w:rsidR="004F06EF" w:rsidRPr="00640654" w:rsidRDefault="004F06EF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0571071" w14:textId="7F8D197B" w:rsidR="004F06EF" w:rsidRPr="008C70B4" w:rsidRDefault="00A55A6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US"/>
              </w:rPr>
            </w:pPr>
            <w:r w:rsidRPr="008C70B4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US"/>
              </w:rPr>
              <w:t>£5,625</w:t>
            </w:r>
          </w:p>
        </w:tc>
      </w:tr>
      <w:tr w:rsidR="004F06EF" w14:paraId="38561A67" w14:textId="77777777" w:rsidTr="008C70B4">
        <w:tc>
          <w:tcPr>
            <w:tcW w:w="4536" w:type="dxa"/>
          </w:tcPr>
          <w:p w14:paraId="3D9CA053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CBF72D5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7A537B0" w14:textId="77777777" w:rsidR="004F06EF" w:rsidRDefault="004F06E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7FFE84C1" w14:textId="77777777" w:rsidR="004F06EF" w:rsidRDefault="004F06EF">
      <w:pPr>
        <w:rPr>
          <w:rFonts w:ascii="Century Gothic" w:hAnsi="Century Gothic"/>
          <w:sz w:val="24"/>
          <w:szCs w:val="24"/>
          <w:lang w:val="en-US"/>
        </w:rPr>
      </w:pPr>
    </w:p>
    <w:p w14:paraId="34041A9F" w14:textId="1C7E1916" w:rsidR="004F06EF" w:rsidRDefault="004F06EF">
      <w:pPr>
        <w:rPr>
          <w:rFonts w:ascii="Century Gothic" w:hAnsi="Century Gothic"/>
          <w:sz w:val="24"/>
          <w:szCs w:val="24"/>
          <w:lang w:val="en-US"/>
        </w:rPr>
      </w:pPr>
    </w:p>
    <w:p w14:paraId="46EAC78C" w14:textId="77777777" w:rsidR="008A20C9" w:rsidRPr="00004A5F" w:rsidRDefault="008A20C9">
      <w:pPr>
        <w:rPr>
          <w:rFonts w:ascii="Century Gothic" w:hAnsi="Century Gothic"/>
          <w:sz w:val="24"/>
          <w:szCs w:val="24"/>
          <w:lang w:val="en-US"/>
        </w:rPr>
      </w:pPr>
    </w:p>
    <w:sectPr w:rsidR="008A20C9" w:rsidRPr="0000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6896" w14:textId="77777777" w:rsidR="00546DE4" w:rsidRDefault="00546DE4" w:rsidP="004F06EF">
      <w:pPr>
        <w:spacing w:after="0" w:line="240" w:lineRule="auto"/>
      </w:pPr>
      <w:r>
        <w:separator/>
      </w:r>
    </w:p>
  </w:endnote>
  <w:endnote w:type="continuationSeparator" w:id="0">
    <w:p w14:paraId="18240D9F" w14:textId="77777777" w:rsidR="00546DE4" w:rsidRDefault="00546DE4" w:rsidP="004F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60A1" w14:textId="77777777" w:rsidR="00907ED7" w:rsidRDefault="0090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0D36" w14:textId="77777777" w:rsidR="00907ED7" w:rsidRDefault="00907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218C" w14:textId="77777777" w:rsidR="00907ED7" w:rsidRDefault="0090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BB79" w14:textId="77777777" w:rsidR="00546DE4" w:rsidRDefault="00546DE4" w:rsidP="004F06EF">
      <w:pPr>
        <w:spacing w:after="0" w:line="240" w:lineRule="auto"/>
      </w:pPr>
      <w:r>
        <w:separator/>
      </w:r>
    </w:p>
  </w:footnote>
  <w:footnote w:type="continuationSeparator" w:id="0">
    <w:p w14:paraId="0B289458" w14:textId="77777777" w:rsidR="00546DE4" w:rsidRDefault="00546DE4" w:rsidP="004F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4BCE" w14:textId="59070990" w:rsidR="00907ED7" w:rsidRDefault="0090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E148" w14:textId="7E06BAA4" w:rsidR="00A55A60" w:rsidRPr="00004A5F" w:rsidRDefault="00907ED7" w:rsidP="00A55A60">
    <w:pPr>
      <w:spacing w:after="0" w:line="240" w:lineRule="auto"/>
      <w:rPr>
        <w:rFonts w:ascii="Century Gothic" w:hAnsi="Century Gothic"/>
        <w:b/>
        <w:bCs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7807EE" wp14:editId="52236924">
          <wp:simplePos x="0" y="0"/>
          <wp:positionH relativeFrom="margin">
            <wp:align>right</wp:align>
          </wp:positionH>
          <wp:positionV relativeFrom="paragraph">
            <wp:posOffset>-318135</wp:posOffset>
          </wp:positionV>
          <wp:extent cx="1016000" cy="984898"/>
          <wp:effectExtent l="0" t="0" r="0" b="5715"/>
          <wp:wrapNone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984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A60" w:rsidRPr="00004A5F">
      <w:rPr>
        <w:rFonts w:ascii="Century Gothic" w:hAnsi="Century Gothic"/>
        <w:b/>
        <w:bCs/>
        <w:sz w:val="24"/>
        <w:szCs w:val="24"/>
        <w:lang w:val="en-US"/>
      </w:rPr>
      <w:t xml:space="preserve">Friends of Highfield Treasurers Report </w:t>
    </w:r>
  </w:p>
  <w:p w14:paraId="53205E86" w14:textId="3C9A85C5" w:rsidR="00A55A60" w:rsidRDefault="00A55A60" w:rsidP="00A55A60">
    <w:pPr>
      <w:spacing w:after="0" w:line="240" w:lineRule="auto"/>
      <w:rPr>
        <w:rFonts w:ascii="Century Gothic" w:hAnsi="Century Gothic"/>
        <w:b/>
        <w:bCs/>
        <w:sz w:val="24"/>
        <w:szCs w:val="24"/>
        <w:lang w:val="en-US"/>
      </w:rPr>
    </w:pPr>
    <w:r w:rsidRPr="00004A5F">
      <w:rPr>
        <w:rFonts w:ascii="Century Gothic" w:hAnsi="Century Gothic"/>
        <w:b/>
        <w:bCs/>
        <w:sz w:val="24"/>
        <w:szCs w:val="24"/>
        <w:lang w:val="en-US"/>
      </w:rPr>
      <w:t>Year to 30 September 2021</w:t>
    </w:r>
  </w:p>
  <w:p w14:paraId="50E2E637" w14:textId="43908095" w:rsidR="00A55A60" w:rsidRPr="00004A5F" w:rsidRDefault="00A55A60" w:rsidP="00A55A60">
    <w:pPr>
      <w:spacing w:after="0" w:line="240" w:lineRule="auto"/>
      <w:rPr>
        <w:rFonts w:ascii="Century Gothic" w:hAnsi="Century Gothic"/>
        <w:b/>
        <w:bCs/>
        <w:sz w:val="24"/>
        <w:szCs w:val="24"/>
        <w:lang w:val="en-US"/>
      </w:rPr>
    </w:pPr>
  </w:p>
  <w:p w14:paraId="26CAB35C" w14:textId="3243A4D7" w:rsidR="00A55A60" w:rsidRDefault="00A55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5751" w14:textId="6D791427" w:rsidR="00907ED7" w:rsidRDefault="00907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37"/>
    <w:rsid w:val="00004A5F"/>
    <w:rsid w:val="00061163"/>
    <w:rsid w:val="000820DB"/>
    <w:rsid w:val="001622B1"/>
    <w:rsid w:val="00246004"/>
    <w:rsid w:val="00284B93"/>
    <w:rsid w:val="00310F49"/>
    <w:rsid w:val="00463D53"/>
    <w:rsid w:val="004C0C2B"/>
    <w:rsid w:val="004F06EF"/>
    <w:rsid w:val="00546DE4"/>
    <w:rsid w:val="00620F88"/>
    <w:rsid w:val="00640654"/>
    <w:rsid w:val="00647C76"/>
    <w:rsid w:val="00662E8F"/>
    <w:rsid w:val="00673D56"/>
    <w:rsid w:val="006D72AC"/>
    <w:rsid w:val="007932EE"/>
    <w:rsid w:val="007F533E"/>
    <w:rsid w:val="00832137"/>
    <w:rsid w:val="008A20C9"/>
    <w:rsid w:val="008C70B4"/>
    <w:rsid w:val="00907ED7"/>
    <w:rsid w:val="00915865"/>
    <w:rsid w:val="009725AF"/>
    <w:rsid w:val="00A55A60"/>
    <w:rsid w:val="00A72B75"/>
    <w:rsid w:val="00AA53A3"/>
    <w:rsid w:val="00C12100"/>
    <w:rsid w:val="00C30BF5"/>
    <w:rsid w:val="00C36DED"/>
    <w:rsid w:val="00D1055B"/>
    <w:rsid w:val="00ED23DA"/>
    <w:rsid w:val="00F37B97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2635B"/>
  <w15:chartTrackingRefBased/>
  <w15:docId w15:val="{103A4073-8226-46B3-B944-86B6B355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C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C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EF"/>
  </w:style>
  <w:style w:type="paragraph" w:styleId="Footer">
    <w:name w:val="footer"/>
    <w:basedOn w:val="Normal"/>
    <w:link w:val="FooterChar"/>
    <w:uiPriority w:val="99"/>
    <w:unhideWhenUsed/>
    <w:rsid w:val="004F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Farr</dc:creator>
  <cp:keywords/>
  <dc:description/>
  <cp:lastModifiedBy>Strong, Sarah @ London HH</cp:lastModifiedBy>
  <cp:revision>2</cp:revision>
  <cp:lastPrinted>2022-02-17T22:36:00Z</cp:lastPrinted>
  <dcterms:created xsi:type="dcterms:W3CDTF">2022-02-21T10:29:00Z</dcterms:created>
  <dcterms:modified xsi:type="dcterms:W3CDTF">2022-02-21T10:29:00Z</dcterms:modified>
</cp:coreProperties>
</file>